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81664C" w:rsidRDefault="006F4D66" w:rsidP="00DA3E67">
      <w:pPr>
        <w:spacing w:line="276" w:lineRule="auto"/>
        <w:ind w:left="360"/>
        <w:jc w:val="center"/>
        <w:rPr>
          <w:rFonts w:cstheme="minorHAnsi"/>
          <w:b/>
          <w:lang w:val="sl-SI"/>
        </w:rPr>
      </w:pPr>
    </w:p>
    <w:p w14:paraId="21203969" w14:textId="77777777" w:rsidR="004F1A34" w:rsidRPr="0081664C" w:rsidRDefault="004F1A34"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p>
    <w:p w14:paraId="682DB1AE" w14:textId="30313770" w:rsidR="00817D6F" w:rsidRPr="00817D6F" w:rsidRDefault="00817D6F" w:rsidP="00817D6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817D6F">
        <w:rPr>
          <w:rFonts w:asciiTheme="minorHAnsi" w:hAnsiTheme="minorHAnsi" w:cstheme="minorHAnsi"/>
          <w:b/>
          <w:bCs/>
          <w:kern w:val="2"/>
          <w:u w:color="0B7367"/>
          <w14:textOutline w14:w="12700" w14:cap="flat" w14:cmpd="sng" w14:algn="ctr">
            <w14:noFill/>
            <w14:prstDash w14:val="solid"/>
            <w14:miter w14:lim="400000"/>
          </w14:textOutline>
        </w:rPr>
        <w:t>Keynote address</w:t>
      </w:r>
      <w:r>
        <w:rPr>
          <w:rFonts w:asciiTheme="minorHAnsi" w:hAnsiTheme="minorHAnsi" w:cstheme="minorHAnsi"/>
          <w:b/>
          <w:bCs/>
          <w:kern w:val="2"/>
          <w:u w:color="0B7367"/>
          <w14:textOutline w14:w="12700" w14:cap="flat" w14:cmpd="sng" w14:algn="ctr">
            <w14:noFill/>
            <w14:prstDash w14:val="solid"/>
            <w14:miter w14:lim="400000"/>
          </w14:textOutline>
        </w:rPr>
        <w:t xml:space="preserve"> </w:t>
      </w:r>
      <w:r w:rsidRPr="00817D6F">
        <w:rPr>
          <w:rFonts w:asciiTheme="minorHAnsi" w:hAnsiTheme="minorHAnsi" w:cstheme="minorHAnsi"/>
          <w:b/>
          <w:bCs/>
          <w:kern w:val="2"/>
          <w:u w:color="0B7367"/>
          <w14:textOutline w14:w="12700" w14:cap="flat" w14:cmpd="sng" w14:algn="ctr">
            <w14:noFill/>
            <w14:prstDash w14:val="solid"/>
            <w14:miter w14:lim="400000"/>
          </w14:textOutline>
        </w:rPr>
        <w:t>by Nataša Pirc Musar, President of the Republic of Slovenia,</w:t>
      </w:r>
    </w:p>
    <w:p w14:paraId="70F61CC2" w14:textId="3C06546D" w:rsidR="00955FF9" w:rsidRPr="0081664C" w:rsidRDefault="00817D6F" w:rsidP="00817D6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817D6F">
        <w:rPr>
          <w:rFonts w:asciiTheme="minorHAnsi" w:hAnsiTheme="minorHAnsi" w:cstheme="minorHAnsi"/>
          <w:b/>
          <w:bCs/>
          <w:kern w:val="2"/>
          <w:u w:color="0B7367"/>
          <w14:textOutline w14:w="12700" w14:cap="flat" w14:cmpd="sng" w14:algn="ctr">
            <w14:noFill/>
            <w14:prstDash w14:val="solid"/>
            <w14:miter w14:lim="400000"/>
          </w14:textOutline>
        </w:rPr>
        <w:t xml:space="preserve">at The Roadmap </w:t>
      </w:r>
      <w:proofErr w:type="gramStart"/>
      <w:r w:rsidRPr="00817D6F">
        <w:rPr>
          <w:rFonts w:asciiTheme="minorHAnsi" w:hAnsiTheme="minorHAnsi" w:cstheme="minorHAnsi"/>
          <w:b/>
          <w:bCs/>
          <w:kern w:val="2"/>
          <w:u w:color="0B7367"/>
          <w14:textOutline w14:w="12700" w14:cap="flat" w14:cmpd="sng" w14:algn="ctr">
            <w14:noFill/>
            <w14:prstDash w14:val="solid"/>
            <w14:miter w14:lim="400000"/>
          </w14:textOutline>
        </w:rPr>
        <w:t>for</w:t>
      </w:r>
      <w:proofErr w:type="gramEnd"/>
      <w:r w:rsidRPr="00817D6F">
        <w:rPr>
          <w:rFonts w:asciiTheme="minorHAnsi" w:hAnsiTheme="minorHAnsi" w:cstheme="minorHAnsi"/>
          <w:b/>
          <w:bCs/>
          <w:kern w:val="2"/>
          <w:u w:color="0B7367"/>
          <w14:textOutline w14:w="12700" w14:cap="flat" w14:cmpd="sng" w14:algn="ctr">
            <w14:noFill/>
            <w14:prstDash w14:val="solid"/>
            <w14:miter w14:lim="400000"/>
          </w14:textOutline>
        </w:rPr>
        <w:t xml:space="preserve"> Women’s Rights: Endorsement Ceremony</w:t>
      </w:r>
    </w:p>
    <w:p w14:paraId="1FABEBF6" w14:textId="77777777" w:rsidR="0081664C" w:rsidRPr="0081664C" w:rsidRDefault="0081664C"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u w:color="0B7367"/>
          <w14:textOutline w14:w="12700" w14:cap="flat" w14:cmpd="sng" w14:algn="ctr">
            <w14:noFill/>
            <w14:prstDash w14:val="solid"/>
            <w14:miter w14:lim="400000"/>
          </w14:textOutline>
        </w:rPr>
      </w:pPr>
    </w:p>
    <w:p w14:paraId="2805257A" w14:textId="411C47BE" w:rsidR="008839B9" w:rsidRPr="0081664C" w:rsidRDefault="00817D6F" w:rsidP="00817D6F">
      <w:pPr>
        <w:pStyle w:val="Default"/>
        <w:spacing w:before="0" w:line="276" w:lineRule="auto"/>
        <w:jc w:val="center"/>
        <w:rPr>
          <w:rFonts w:asciiTheme="minorHAnsi" w:eastAsia="Arial" w:hAnsiTheme="minorHAnsi" w:cstheme="minorHAnsi"/>
          <w:u w:color="000000"/>
          <w14:textOutline w14:w="12700" w14:cap="flat" w14:cmpd="sng" w14:algn="ctr">
            <w14:noFill/>
            <w14:prstDash w14:val="solid"/>
            <w14:miter w14:lim="400000"/>
          </w14:textOutline>
        </w:rPr>
      </w:pPr>
      <w:r w:rsidRPr="00817D6F">
        <w:rPr>
          <w:rFonts w:asciiTheme="minorHAnsi" w:hAnsiTheme="minorHAnsi" w:cstheme="minorHAnsi"/>
          <w:kern w:val="2"/>
          <w:u w:color="0B7367"/>
          <w14:textOutline w14:w="12700" w14:cap="flat" w14:cmpd="sng" w14:algn="ctr">
            <w14:noFill/>
            <w14:prstDash w14:val="solid"/>
            <w14:miter w14:lim="400000"/>
          </w14:textOutline>
        </w:rPr>
        <w:t>16 October 2025 at Bibliothèque Solvay, Brussels</w:t>
      </w:r>
    </w:p>
    <w:p w14:paraId="513A7CAD" w14:textId="77777777" w:rsidR="004F1A34" w:rsidRPr="0081664C" w:rsidRDefault="004F1A34"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75CA2588" w14:textId="74F90E20" w:rsidR="0081664C" w:rsidRPr="0081664C" w:rsidRDefault="004F1A34" w:rsidP="0081664C">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p>
    <w:p w14:paraId="7F6AC40D" w14:textId="77777777" w:rsidR="0081664C" w:rsidRPr="0081664C" w:rsidRDefault="0081664C" w:rsidP="0081664C">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70E2F3B"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Madam</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Commissioner Hadja Lahbib, </w:t>
      </w:r>
    </w:p>
    <w:p w14:paraId="6636B1D7"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Madam</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Vice-President of the European Parliament Pina Picierno, </w:t>
      </w:r>
    </w:p>
    <w:p w14:paraId="5B5162EA"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Distinguished Ministers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for</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Equality, </w:t>
      </w:r>
    </w:p>
    <w:p w14:paraId="5C4C94BB"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Ladies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and</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Gentlemen,</w:t>
      </w:r>
    </w:p>
    <w:p w14:paraId="00F2AF17"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7933C112" w14:textId="41A35DCA"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I believe the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Beijing</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Declaration and Programme of Action stands among the United Nations’ proudest moments. And if there is one message that has echoed through the decades since the Beijing Conference thirty years ago, it is – as Hil</w:t>
      </w:r>
      <w:r w:rsidR="007A0426">
        <w:rPr>
          <w:rFonts w:asciiTheme="minorHAnsi" w:hAnsiTheme="minorHAnsi" w:cstheme="minorHAnsi"/>
          <w:sz w:val="22"/>
          <w:szCs w:val="22"/>
          <w:u w:color="000000"/>
          <w14:textOutline w14:w="12700" w14:cap="flat" w14:cmpd="sng" w14:algn="ctr">
            <w14:noFill/>
            <w14:prstDash w14:val="solid"/>
            <w14:miter w14:lim="400000"/>
          </w14:textOutline>
        </w:rPr>
        <w:t>l</w:t>
      </w: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ary  Clinton so powerfully said - that human rights are women’s rights, and women’s rights are human rights, once and for all. </w:t>
      </w:r>
      <w:bookmarkStart w:id="0" w:name="_GoBack"/>
      <w:bookmarkEnd w:id="0"/>
    </w:p>
    <w:p w14:paraId="3F17497F"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182C6D3" w14:textId="7B6B536B"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Those words, together with the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Beijing</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Declaration, inspired and profoundly shaped the lives of many women across the European Union and around the world, including myself as a young woman at the time. </w:t>
      </w:r>
    </w:p>
    <w:p w14:paraId="5F6C183F"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11278A0" w14:textId="50EB03C6"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Yet, thirty years on, the mood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is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more sombre than celebratory. Progress on women’s rights has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been</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uneven, and many of our hard-won gains are now at risk – in many parts of the world and even here, within our EU family. But I say this clearly: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going</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back on women’s rights is not an option. </w:t>
      </w:r>
    </w:p>
    <w:p w14:paraId="62FCA96E"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CAA6226" w14:textId="11FCCD63"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We must remember that the European Union played a leading role in the run-up to the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Beijing</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conference and helped ensure its success. I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am</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firmly convinced that the EU must continue to play the leading role internationally, today and in the years to come. </w:t>
      </w:r>
    </w:p>
    <w:p w14:paraId="2A5FFC13"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F842559" w14:textId="3F5625B7"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It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is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for that reason that I was delighted to accept the kind invitation of Madam Commissioner to participate at today’s event. I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am</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here to endorse the Roadmap for Women’s Rights and its Declaration on issues crucial to the rights of women and girls. Both stand as</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a</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commitment to gender equality – here and now. And I very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much</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look forward to the new EU Gender Equality Strategy Post-2025 in March next year. </w:t>
      </w:r>
    </w:p>
    <w:p w14:paraId="66F1BBE3"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B997D21" w14:textId="62C1EE92"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For</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we are facing major challenges. </w:t>
      </w:r>
    </w:p>
    <w:p w14:paraId="44EA4196"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A6244DD" w14:textId="69E2FC91"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One in three women has experienced physical and/</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or</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sexual violence in the past twelve months. These incidents remain largely underreported and when they are reported to the police, victims are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still</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far too often subjected to secondary victimisation during court proceedings. Meanwhile, perpetrators frequently receive sentences that are far too lenient. Here, I cannot stress enough the importance of systemic awareness-raising. Later this year, Slovenia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will</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once again conduct a national campaign </w:t>
      </w:r>
      <w:r w:rsidRPr="00817D6F">
        <w:rPr>
          <w:rFonts w:asciiTheme="minorHAnsi" w:hAnsiTheme="minorHAnsi" w:cstheme="minorHAnsi"/>
          <w:sz w:val="22"/>
          <w:szCs w:val="22"/>
          <w:u w:color="000000"/>
          <w14:textOutline w14:w="12700" w14:cap="flat" w14:cmpd="sng" w14:algn="ctr">
            <w14:noFill/>
            <w14:prstDash w14:val="solid"/>
            <w14:miter w14:lim="400000"/>
          </w14:textOutline>
        </w:rPr>
        <w:lastRenderedPageBreak/>
        <w:t>under the slogan Love doesn’t hurt, focused on promoting the concept of affirmative consent – that only yes means yes.</w:t>
      </w:r>
    </w:p>
    <w:p w14:paraId="44004827"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16F89F04" w14:textId="59DCD536"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Each year, on the International Day for the Elimination of Violence against Women, I attend our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national</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conference on the prevention of violence against women. The aim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is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to strengthen the voice of the victims and provide them with support they need, while also responding adequately to perpetrators of violence. </w:t>
      </w:r>
    </w:p>
    <w:p w14:paraId="07EC58AE"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AF90FED" w14:textId="1112B972"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The EU’s accession to the Istanbul Convention two years ago marked a historic step – a step that transcended our political divides and confirmed our shared commitment that in Europe, there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is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no, and must be no, tolerance for sexual and gender-based violence. Life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free</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from violence is an absolute precondition for gender equality in any society. </w:t>
      </w:r>
    </w:p>
    <w:p w14:paraId="166100AA"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1FE4EF23" w14:textId="226340B8"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At this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point</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I would like to appeal to those states that have not yet ratified the Istanbul Convention to consider doing so. Part of this process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is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understanding what the Convention truly represents – and what it does not. This also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means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dispelling confusion around the term gender and moving beyond ideological disputes. The Convention does not require unconstitutional changes. Its aim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is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to upgrade the rights for the safety and dignity of women. </w:t>
      </w:r>
    </w:p>
    <w:p w14:paraId="54B686D8"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CB6C4BE" w14:textId="795FE88D"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I say this in a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spirit</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of solidarity and encouragement to our EU partners who have yet to ratify it: please overcome the remaining obstacles – be they legal, political or social – in order to ratify the Convention as soon as possible. </w:t>
      </w:r>
    </w:p>
    <w:p w14:paraId="6F69727D"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7AA67B3F"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Ladies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and</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Gentlemen,  </w:t>
      </w:r>
    </w:p>
    <w:p w14:paraId="5FD31200" w14:textId="3B5A1C9F"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The sexual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and</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reproductive rights of women are their human rights. In the words of Slovenian Institute 8th of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March</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My Voice, My Choice. The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young</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members of this institute are campaigning tirelessly for safe and accessible abortion across Europe and have collected over 1.1 million signatures from all over the continent in support of this initiative. I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call</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on the European Parliament and the European Commission to take these voices seriously. For more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than</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20 million of women in Europe still lack access to safe abortion. </w:t>
      </w:r>
    </w:p>
    <w:p w14:paraId="0B08D94E"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3F667C6A" w14:textId="6D853B22"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Gender equality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means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also equality in leadership and decision-making. Unfortunately, we remain far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from</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achieving equal political participation, both domestically and internationally. I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am</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sure you will agree with me that it is time for the first woman Secretary-General of the United Nations. </w:t>
      </w:r>
    </w:p>
    <w:p w14:paraId="2B3A713A"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9BFD65B" w14:textId="7C168ADE"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In Slovenia, I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am</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proud to say that women have broken the glass ceiling. For the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first</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time, women hold the positions of the President of the Republic, President of the National Assembly and Minister of Foreign Affairs. I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am</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glad to add that Slovenia is pursuing a feminist foreign policy. </w:t>
      </w:r>
    </w:p>
    <w:p w14:paraId="07DA6DD3"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F8F57D2" w14:textId="61B3DED7"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Economic inequality, and the gender pay and pensions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gap</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persist. I find it alarming that in Slovenia one in three women over the age of 65 lives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below</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the at-risk-of-poverty threshold. </w:t>
      </w:r>
    </w:p>
    <w:p w14:paraId="4C78B7DE"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928E94F" w14:textId="4E32B0B7"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According to the European Institute for Gender Equality, the EU’s 2024 Gender Equality Index stands at 70.1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out</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of 100. With an increase of only 0.8 since last year, the EU is moving in the right direction – towards what we call the Unity of Equality – but progress remains too slow, particularly in the area of economic decision-making, which scores just 57.6 points. </w:t>
      </w:r>
    </w:p>
    <w:p w14:paraId="09B239FF"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18B4342" w14:textId="15679320"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At this pace, it would take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us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another 60 years to reach full gender equality in the EU.   </w:t>
      </w:r>
    </w:p>
    <w:p w14:paraId="418401E6"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76A0005B" w14:textId="0049B524"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Ladies and gentlemen, we do not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have</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that time. </w:t>
      </w:r>
    </w:p>
    <w:p w14:paraId="26B6DEBA"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733AAAE7" w14:textId="508B4556"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lastRenderedPageBreak/>
        <w:t xml:space="preserve">We know that gender equality boosts economic growth. For the European Union this could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mean</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economic growth somewhere in the span of two to three trillion euros by 2050. In today’s highly competitive world, gender equality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is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not a luxury, but a necessity. A gender-equal society would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mean</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higher employment, greater productivity and stronger resilience in the face of geopolitical, climate, environmental, economic and other crises. </w:t>
      </w:r>
    </w:p>
    <w:p w14:paraId="09EFCC36"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CBB45E6" w14:textId="4F79F089"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To conclude, Ladies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and</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Gentlemen: </w:t>
      </w:r>
    </w:p>
    <w:p w14:paraId="140D8519"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7754446" w14:textId="65B7D4F0" w:rsid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Gender equality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is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an absolute precondition for a strong European Union. </w:t>
      </w:r>
    </w:p>
    <w:p w14:paraId="5870F89E"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8C9025A"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And this event today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is</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an important stepping stone towards that Unity of Equality. </w:t>
      </w:r>
    </w:p>
    <w:p w14:paraId="326C1721" w14:textId="77777777" w:rsidR="00817D6F" w:rsidRPr="00817D6F" w:rsidRDefault="00817D6F" w:rsidP="00817D6F">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6E2474DF" w14:textId="77C01E0F" w:rsidR="009C652E" w:rsidRPr="0081664C" w:rsidRDefault="00817D6F" w:rsidP="00817D6F">
      <w:pPr>
        <w:pStyle w:val="Default"/>
        <w:spacing w:before="0" w:line="240" w:lineRule="auto"/>
        <w:jc w:val="both"/>
        <w:rPr>
          <w:rFonts w:asciiTheme="minorHAnsi" w:hAnsiTheme="minorHAnsi" w:cstheme="minorHAnsi"/>
          <w:i/>
        </w:rPr>
      </w:pPr>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I thank </w:t>
      </w:r>
      <w:proofErr w:type="gramStart"/>
      <w:r w:rsidRPr="00817D6F">
        <w:rPr>
          <w:rFonts w:asciiTheme="minorHAnsi" w:hAnsiTheme="minorHAnsi" w:cstheme="minorHAnsi"/>
          <w:sz w:val="22"/>
          <w:szCs w:val="22"/>
          <w:u w:color="000000"/>
          <w14:textOutline w14:w="12700" w14:cap="flat" w14:cmpd="sng" w14:algn="ctr">
            <w14:noFill/>
            <w14:prstDash w14:val="solid"/>
            <w14:miter w14:lim="400000"/>
          </w14:textOutline>
        </w:rPr>
        <w:t>you</w:t>
      </w:r>
      <w:proofErr w:type="gramEnd"/>
      <w:r w:rsidRPr="00817D6F">
        <w:rPr>
          <w:rFonts w:asciiTheme="minorHAnsi" w:hAnsiTheme="minorHAnsi" w:cstheme="minorHAnsi"/>
          <w:sz w:val="22"/>
          <w:szCs w:val="22"/>
          <w:u w:color="000000"/>
          <w14:textOutline w14:w="12700" w14:cap="flat" w14:cmpd="sng" w14:algn="ctr">
            <w14:noFill/>
            <w14:prstDash w14:val="solid"/>
            <w14:miter w14:lim="400000"/>
          </w14:textOutline>
        </w:rPr>
        <w:t xml:space="preserve"> for that, Madam Commissioner, and I thank all of you for your kind attention.</w:t>
      </w:r>
    </w:p>
    <w:sectPr w:rsidR="009C652E" w:rsidRPr="0081664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8B9D" w14:textId="77777777" w:rsidR="0058379C" w:rsidRDefault="0058379C" w:rsidP="009F6FB1">
      <w:r>
        <w:separator/>
      </w:r>
    </w:p>
  </w:endnote>
  <w:endnote w:type="continuationSeparator" w:id="0">
    <w:p w14:paraId="57B22E1F" w14:textId="77777777" w:rsidR="0058379C" w:rsidRDefault="0058379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C1877" w14:textId="77777777" w:rsidR="0058379C" w:rsidRDefault="0058379C" w:rsidP="009F6FB1">
      <w:r>
        <w:separator/>
      </w:r>
    </w:p>
  </w:footnote>
  <w:footnote w:type="continuationSeparator" w:id="0">
    <w:p w14:paraId="4168845D" w14:textId="77777777" w:rsidR="0058379C" w:rsidRDefault="0058379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dirty"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A69"/>
    <w:rsid w:val="001347A1"/>
    <w:rsid w:val="001465B5"/>
    <w:rsid w:val="00147BA4"/>
    <w:rsid w:val="00152E7D"/>
    <w:rsid w:val="00154642"/>
    <w:rsid w:val="001546D5"/>
    <w:rsid w:val="00161C7C"/>
    <w:rsid w:val="00167A30"/>
    <w:rsid w:val="00170795"/>
    <w:rsid w:val="00174762"/>
    <w:rsid w:val="001765A4"/>
    <w:rsid w:val="00181AC7"/>
    <w:rsid w:val="00195134"/>
    <w:rsid w:val="001C2442"/>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65A9C"/>
    <w:rsid w:val="00377C40"/>
    <w:rsid w:val="00386C3A"/>
    <w:rsid w:val="00393243"/>
    <w:rsid w:val="003A1EC1"/>
    <w:rsid w:val="003B1FCE"/>
    <w:rsid w:val="003C1333"/>
    <w:rsid w:val="003C7D8F"/>
    <w:rsid w:val="003D4D20"/>
    <w:rsid w:val="003D7C2E"/>
    <w:rsid w:val="003E107F"/>
    <w:rsid w:val="004007FE"/>
    <w:rsid w:val="00401FE6"/>
    <w:rsid w:val="00417C9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1A34"/>
    <w:rsid w:val="004F7D74"/>
    <w:rsid w:val="005154DC"/>
    <w:rsid w:val="00526019"/>
    <w:rsid w:val="00541181"/>
    <w:rsid w:val="00555AA8"/>
    <w:rsid w:val="00556010"/>
    <w:rsid w:val="00557B6C"/>
    <w:rsid w:val="005658B7"/>
    <w:rsid w:val="00566793"/>
    <w:rsid w:val="0058379C"/>
    <w:rsid w:val="005910C5"/>
    <w:rsid w:val="00597E6D"/>
    <w:rsid w:val="005A1D09"/>
    <w:rsid w:val="005B0F37"/>
    <w:rsid w:val="005C059F"/>
    <w:rsid w:val="005C2CC3"/>
    <w:rsid w:val="005D0BB5"/>
    <w:rsid w:val="005D6605"/>
    <w:rsid w:val="005E21F1"/>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0426"/>
    <w:rsid w:val="007A1E17"/>
    <w:rsid w:val="007D34FF"/>
    <w:rsid w:val="007D3DA5"/>
    <w:rsid w:val="007D64F7"/>
    <w:rsid w:val="0080232B"/>
    <w:rsid w:val="00807726"/>
    <w:rsid w:val="0081664C"/>
    <w:rsid w:val="00817D6F"/>
    <w:rsid w:val="0082769F"/>
    <w:rsid w:val="00845C17"/>
    <w:rsid w:val="008523AE"/>
    <w:rsid w:val="00862591"/>
    <w:rsid w:val="00866B81"/>
    <w:rsid w:val="00871229"/>
    <w:rsid w:val="008732B6"/>
    <w:rsid w:val="0088068E"/>
    <w:rsid w:val="0088130D"/>
    <w:rsid w:val="008839B9"/>
    <w:rsid w:val="0088684D"/>
    <w:rsid w:val="008A7991"/>
    <w:rsid w:val="008B7A59"/>
    <w:rsid w:val="008D29D5"/>
    <w:rsid w:val="008E0963"/>
    <w:rsid w:val="00905295"/>
    <w:rsid w:val="009072F9"/>
    <w:rsid w:val="00911007"/>
    <w:rsid w:val="00915C14"/>
    <w:rsid w:val="00915FE0"/>
    <w:rsid w:val="0092402F"/>
    <w:rsid w:val="00930F4D"/>
    <w:rsid w:val="00935825"/>
    <w:rsid w:val="00937A06"/>
    <w:rsid w:val="00951ED4"/>
    <w:rsid w:val="00955FF9"/>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CA0"/>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B3399"/>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63FB1"/>
    <w:rsid w:val="00D700C3"/>
    <w:rsid w:val="00D74B84"/>
    <w:rsid w:val="00D82DEE"/>
    <w:rsid w:val="00D93503"/>
    <w:rsid w:val="00DA165B"/>
    <w:rsid w:val="00DA3E67"/>
    <w:rsid w:val="00DA5A15"/>
    <w:rsid w:val="00DA7863"/>
    <w:rsid w:val="00DC0AEE"/>
    <w:rsid w:val="00DC2EDA"/>
    <w:rsid w:val="00DC3DCF"/>
    <w:rsid w:val="00DC7E96"/>
    <w:rsid w:val="00DD1B1B"/>
    <w:rsid w:val="00DD3CE1"/>
    <w:rsid w:val="00DE1097"/>
    <w:rsid w:val="00DE2C82"/>
    <w:rsid w:val="00E22E52"/>
    <w:rsid w:val="00E27DD6"/>
    <w:rsid w:val="00E345DE"/>
    <w:rsid w:val="00E3778D"/>
    <w:rsid w:val="00E456EF"/>
    <w:rsid w:val="00E62A26"/>
    <w:rsid w:val="00E65EE1"/>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571C6"/>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9B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paragraph" w:customStyle="1" w:styleId="Body">
    <w:name w:val="Body"/>
    <w:rsid w:val="008839B9"/>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350947">
      <w:bodyDiv w:val="1"/>
      <w:marLeft w:val="0"/>
      <w:marRight w:val="0"/>
      <w:marTop w:val="0"/>
      <w:marBottom w:val="0"/>
      <w:divBdr>
        <w:top w:val="none" w:sz="0" w:space="0" w:color="auto"/>
        <w:left w:val="none" w:sz="0" w:space="0" w:color="auto"/>
        <w:bottom w:val="none" w:sz="0" w:space="0" w:color="auto"/>
        <w:right w:val="none" w:sz="0" w:space="0" w:color="auto"/>
      </w:divBdr>
    </w:div>
    <w:div w:id="10232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B5BC6A-50C0-4B2A-85E0-DE927A12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968</Words>
  <Characters>5521</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3</cp:revision>
  <cp:lastPrinted>2025-10-15T08:51:00Z</cp:lastPrinted>
  <dcterms:created xsi:type="dcterms:W3CDTF">2025-10-15T08:51:00Z</dcterms:created>
  <dcterms:modified xsi:type="dcterms:W3CDTF">2025-10-15T09:39:00Z</dcterms:modified>
</cp:coreProperties>
</file>